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C6C9" w14:textId="77777777" w:rsidR="006F53C7" w:rsidRDefault="006F53C7" w:rsidP="006F53C7">
      <w:pPr>
        <w:spacing w:before="25" w:after="0" w:line="240" w:lineRule="auto"/>
        <w:ind w:left="965" w:right="958"/>
        <w:jc w:val="center"/>
        <w:rPr>
          <w:rFonts w:eastAsia="Arial" w:cs="Arial"/>
          <w:b/>
          <w:bCs/>
          <w:sz w:val="36"/>
          <w:szCs w:val="28"/>
          <w:u w:color="000000"/>
        </w:rPr>
      </w:pPr>
    </w:p>
    <w:p w14:paraId="313AC3B8" w14:textId="77777777" w:rsidR="006F53C7" w:rsidRDefault="006F53C7" w:rsidP="006F53C7">
      <w:pPr>
        <w:spacing w:before="25" w:after="0" w:line="240" w:lineRule="auto"/>
        <w:ind w:left="965" w:right="958"/>
        <w:jc w:val="center"/>
        <w:rPr>
          <w:rFonts w:eastAsia="Arial" w:cs="Arial"/>
          <w:b/>
          <w:bCs/>
          <w:sz w:val="36"/>
          <w:szCs w:val="28"/>
          <w:u w:color="000000"/>
        </w:rPr>
      </w:pPr>
    </w:p>
    <w:p w14:paraId="0A2E4D4A" w14:textId="5598B282" w:rsidR="00AA22D2" w:rsidRPr="006F53C7" w:rsidRDefault="00AA22D2" w:rsidP="006F53C7">
      <w:pPr>
        <w:spacing w:before="25" w:after="0" w:line="240" w:lineRule="auto"/>
        <w:ind w:left="965" w:right="958"/>
        <w:jc w:val="center"/>
        <w:rPr>
          <w:rFonts w:eastAsia="Arial" w:cs="Arial"/>
          <w:b/>
          <w:bCs/>
          <w:sz w:val="36"/>
          <w:szCs w:val="28"/>
          <w:u w:color="000000"/>
        </w:rPr>
      </w:pPr>
      <w:r w:rsidRPr="00C564D1">
        <w:rPr>
          <w:rFonts w:eastAsia="Arial" w:cs="Arial"/>
          <w:b/>
          <w:bCs/>
          <w:sz w:val="36"/>
          <w:szCs w:val="28"/>
          <w:u w:color="000000"/>
        </w:rPr>
        <w:t>Grafton Clinical Genomics</w:t>
      </w:r>
    </w:p>
    <w:p w14:paraId="25C7EFB8" w14:textId="67C173E7" w:rsidR="00F2352C" w:rsidRDefault="002C13FA" w:rsidP="00AA22D2">
      <w:pPr>
        <w:spacing w:before="240" w:after="0" w:line="240" w:lineRule="auto"/>
        <w:ind w:left="964" w:right="958"/>
        <w:jc w:val="center"/>
        <w:rPr>
          <w:rFonts w:eastAsia="Arial" w:cs="Arial"/>
          <w:b/>
          <w:bCs/>
          <w:sz w:val="28"/>
          <w:szCs w:val="28"/>
          <w:u w:val="single" w:color="000000"/>
        </w:rPr>
      </w:pPr>
      <w:r>
        <w:rPr>
          <w:rFonts w:eastAsia="Arial" w:cs="Arial"/>
          <w:b/>
          <w:bCs/>
          <w:sz w:val="28"/>
          <w:szCs w:val="28"/>
          <w:u w:val="single" w:color="000000"/>
        </w:rPr>
        <w:t xml:space="preserve">Short term </w:t>
      </w:r>
      <w:r w:rsidR="00302045">
        <w:rPr>
          <w:rFonts w:eastAsia="Arial" w:cs="Arial"/>
          <w:b/>
          <w:bCs/>
          <w:sz w:val="28"/>
          <w:szCs w:val="28"/>
          <w:u w:val="single" w:color="000000"/>
        </w:rPr>
        <w:t>D</w:t>
      </w:r>
      <w:r w:rsidR="00C564D1">
        <w:rPr>
          <w:rFonts w:eastAsia="Arial" w:cs="Arial"/>
          <w:b/>
          <w:bCs/>
          <w:sz w:val="28"/>
          <w:szCs w:val="28"/>
          <w:u w:val="single" w:color="000000"/>
        </w:rPr>
        <w:t xml:space="preserve">ata </w:t>
      </w:r>
      <w:r w:rsidR="00302045">
        <w:rPr>
          <w:rFonts w:eastAsia="Arial" w:cs="Arial"/>
          <w:b/>
          <w:bCs/>
          <w:sz w:val="28"/>
          <w:szCs w:val="28"/>
          <w:u w:val="single" w:color="000000"/>
        </w:rPr>
        <w:t xml:space="preserve">Management </w:t>
      </w:r>
      <w:r w:rsidR="00502D0A">
        <w:rPr>
          <w:rFonts w:eastAsia="Arial" w:cs="Arial"/>
          <w:b/>
          <w:bCs/>
          <w:sz w:val="28"/>
          <w:szCs w:val="28"/>
          <w:u w:val="single" w:color="000000"/>
        </w:rPr>
        <w:t>Agreement</w:t>
      </w:r>
    </w:p>
    <w:p w14:paraId="5BBD824D" w14:textId="77777777" w:rsidR="00AA22D2" w:rsidRPr="00C564D1" w:rsidRDefault="00AA22D2" w:rsidP="00C564D1">
      <w:pPr>
        <w:spacing w:before="25" w:after="0" w:line="240" w:lineRule="auto"/>
        <w:ind w:left="965" w:right="958"/>
        <w:jc w:val="center"/>
        <w:rPr>
          <w:rFonts w:eastAsia="Arial" w:cs="Arial"/>
          <w:b/>
          <w:bCs/>
          <w:sz w:val="28"/>
          <w:szCs w:val="28"/>
          <w:u w:val="single" w:color="000000"/>
        </w:rPr>
      </w:pPr>
    </w:p>
    <w:p w14:paraId="7E8F429D" w14:textId="77777777" w:rsidR="00AA22D2" w:rsidRPr="00AA22D2" w:rsidRDefault="00AA22D2" w:rsidP="00AA22D2">
      <w:pPr>
        <w:tabs>
          <w:tab w:val="left" w:pos="480"/>
        </w:tabs>
        <w:spacing w:before="120" w:after="0" w:line="240" w:lineRule="auto"/>
        <w:ind w:right="63"/>
        <w:jc w:val="both"/>
        <w:rPr>
          <w:rFonts w:eastAsia="Arial" w:cs="Arial"/>
          <w:b/>
          <w:szCs w:val="20"/>
        </w:rPr>
      </w:pPr>
      <w:r w:rsidRPr="00AA22D2">
        <w:rPr>
          <w:rFonts w:eastAsia="Arial" w:cs="Arial"/>
          <w:b/>
          <w:szCs w:val="20"/>
        </w:rPr>
        <w:t>Ion Torrent data:</w:t>
      </w:r>
    </w:p>
    <w:p w14:paraId="6C7B214A" w14:textId="2F9D51DE" w:rsidR="00AA22D2" w:rsidRDefault="00F2352C" w:rsidP="00F2352C">
      <w:pPr>
        <w:pStyle w:val="ListParagraph"/>
        <w:numPr>
          <w:ilvl w:val="0"/>
          <w:numId w:val="3"/>
        </w:numPr>
        <w:tabs>
          <w:tab w:val="left" w:pos="480"/>
        </w:tabs>
        <w:spacing w:before="120" w:after="0" w:line="240" w:lineRule="auto"/>
        <w:ind w:left="426" w:right="63" w:hanging="426"/>
        <w:jc w:val="both"/>
        <w:rPr>
          <w:rFonts w:eastAsia="Arial" w:cs="Arial"/>
          <w:szCs w:val="20"/>
        </w:rPr>
      </w:pPr>
      <w:r w:rsidRPr="00AA22D2">
        <w:rPr>
          <w:rFonts w:eastAsia="Arial" w:cs="Arial"/>
          <w:szCs w:val="20"/>
        </w:rPr>
        <w:t>The data can only be stored on the Ion Proton/ PGM servers for 4 weeks after data generation</w:t>
      </w:r>
      <w:r w:rsidR="00AA22D2">
        <w:rPr>
          <w:rFonts w:eastAsia="Arial" w:cs="Arial"/>
          <w:szCs w:val="20"/>
        </w:rPr>
        <w:t>.</w:t>
      </w:r>
    </w:p>
    <w:p w14:paraId="4EB96B26" w14:textId="59BE69D2" w:rsidR="00AA22D2" w:rsidRPr="00AA22D2" w:rsidRDefault="00AA22D2" w:rsidP="00F2352C">
      <w:pPr>
        <w:pStyle w:val="ListParagraph"/>
        <w:numPr>
          <w:ilvl w:val="0"/>
          <w:numId w:val="3"/>
        </w:numPr>
        <w:tabs>
          <w:tab w:val="left" w:pos="480"/>
        </w:tabs>
        <w:spacing w:before="120" w:after="0" w:line="240" w:lineRule="auto"/>
        <w:ind w:left="426" w:right="63" w:hanging="426"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While the data is still on the machine, the </w:t>
      </w:r>
      <w:proofErr w:type="spellStart"/>
      <w:r>
        <w:rPr>
          <w:rFonts w:eastAsia="Arial" w:cs="Arial"/>
          <w:szCs w:val="20"/>
        </w:rPr>
        <w:t>fastq</w:t>
      </w:r>
      <w:proofErr w:type="spellEnd"/>
      <w:r>
        <w:rPr>
          <w:rFonts w:eastAsia="Arial" w:cs="Arial"/>
          <w:szCs w:val="20"/>
        </w:rPr>
        <w:t xml:space="preserve">, BAM and VCF data can/ will be transferred to </w:t>
      </w:r>
      <w:proofErr w:type="gramStart"/>
      <w:r>
        <w:rPr>
          <w:rFonts w:eastAsia="Arial" w:cs="Arial"/>
          <w:szCs w:val="20"/>
        </w:rPr>
        <w:t>you  (</w:t>
      </w:r>
      <w:proofErr w:type="gramEnd"/>
      <w:r>
        <w:rPr>
          <w:rFonts w:eastAsia="Arial" w:cs="Arial"/>
          <w:szCs w:val="20"/>
        </w:rPr>
        <w:t>1) By data share through your Ion Reporter account and (2) Data transfer to your preferred storage medium.</w:t>
      </w:r>
    </w:p>
    <w:p w14:paraId="72448F38" w14:textId="503B456E" w:rsidR="00AA22D2" w:rsidRDefault="00F2352C" w:rsidP="00A86C4E">
      <w:pPr>
        <w:pStyle w:val="ListParagraph"/>
        <w:numPr>
          <w:ilvl w:val="0"/>
          <w:numId w:val="3"/>
        </w:numPr>
        <w:tabs>
          <w:tab w:val="left" w:pos="480"/>
        </w:tabs>
        <w:spacing w:before="120" w:after="0" w:line="240" w:lineRule="auto"/>
        <w:ind w:left="426" w:right="63" w:hanging="426"/>
        <w:jc w:val="both"/>
        <w:rPr>
          <w:rFonts w:eastAsia="Arial" w:cs="Arial"/>
          <w:szCs w:val="20"/>
        </w:rPr>
      </w:pPr>
      <w:r w:rsidRPr="00AA22D2">
        <w:rPr>
          <w:rFonts w:eastAsia="Arial" w:cs="Arial"/>
          <w:szCs w:val="20"/>
        </w:rPr>
        <w:t>4 weeks after the date of data generation</w:t>
      </w:r>
      <w:r w:rsidR="00AA22D2">
        <w:rPr>
          <w:rFonts w:eastAsia="Arial" w:cs="Arial"/>
          <w:szCs w:val="20"/>
        </w:rPr>
        <w:t>, t</w:t>
      </w:r>
      <w:r w:rsidR="00AA22D2" w:rsidRPr="00AA22D2">
        <w:rPr>
          <w:rFonts w:eastAsia="Arial" w:cs="Arial"/>
          <w:szCs w:val="20"/>
        </w:rPr>
        <w:t xml:space="preserve">he data will be archived, </w:t>
      </w:r>
      <w:r w:rsidR="002F21F2" w:rsidRPr="00AA22D2">
        <w:rPr>
          <w:rFonts w:eastAsia="Arial" w:cs="Arial"/>
          <w:szCs w:val="20"/>
        </w:rPr>
        <w:t>and will be stored for up</w:t>
      </w:r>
      <w:r w:rsidR="00502D0A">
        <w:rPr>
          <w:rFonts w:eastAsia="Arial" w:cs="Arial"/>
          <w:szCs w:val="20"/>
        </w:rPr>
        <w:t xml:space="preserve"> </w:t>
      </w:r>
      <w:r w:rsidR="002F21F2" w:rsidRPr="00AA22D2">
        <w:rPr>
          <w:rFonts w:eastAsia="Arial" w:cs="Arial"/>
          <w:szCs w:val="20"/>
        </w:rPr>
        <w:t xml:space="preserve">to </w:t>
      </w:r>
      <w:r w:rsidR="00AA22D2">
        <w:rPr>
          <w:rFonts w:eastAsia="Arial" w:cs="Arial"/>
          <w:szCs w:val="20"/>
        </w:rPr>
        <w:t>8 weeks</w:t>
      </w:r>
      <w:r w:rsidR="002F21F2" w:rsidRPr="00AA22D2">
        <w:rPr>
          <w:rFonts w:eastAsia="Arial" w:cs="Arial"/>
          <w:szCs w:val="20"/>
        </w:rPr>
        <w:t xml:space="preserve"> after the date of data generation</w:t>
      </w:r>
      <w:r w:rsidR="00AA22D2">
        <w:rPr>
          <w:rFonts w:eastAsia="Arial" w:cs="Arial"/>
          <w:szCs w:val="20"/>
        </w:rPr>
        <w:t xml:space="preserve"> (total 12 weeks after data generation)</w:t>
      </w:r>
      <w:r w:rsidR="002F21F2" w:rsidRPr="00AA22D2">
        <w:rPr>
          <w:rFonts w:eastAsia="Arial" w:cs="Arial"/>
          <w:szCs w:val="20"/>
        </w:rPr>
        <w:t>.</w:t>
      </w:r>
    </w:p>
    <w:p w14:paraId="5D69A12D" w14:textId="1B7942D9" w:rsidR="00AA22D2" w:rsidRPr="00AA22D2" w:rsidRDefault="00AA22D2" w:rsidP="00A86C4E">
      <w:pPr>
        <w:pStyle w:val="ListParagraph"/>
        <w:numPr>
          <w:ilvl w:val="0"/>
          <w:numId w:val="3"/>
        </w:numPr>
        <w:tabs>
          <w:tab w:val="left" w:pos="480"/>
        </w:tabs>
        <w:spacing w:before="120" w:after="0" w:line="240" w:lineRule="auto"/>
        <w:ind w:left="426" w:right="63" w:hanging="426"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If you have opt</w:t>
      </w:r>
      <w:r w:rsidR="00502D0A">
        <w:rPr>
          <w:rFonts w:eastAsia="Arial" w:cs="Arial"/>
          <w:szCs w:val="20"/>
        </w:rPr>
        <w:t>ed</w:t>
      </w:r>
      <w:r>
        <w:rPr>
          <w:rFonts w:eastAsia="Arial" w:cs="Arial"/>
          <w:szCs w:val="20"/>
        </w:rPr>
        <w:t xml:space="preserve"> for raw data storage, the raw data will be transferred to your data storage medium during this time.</w:t>
      </w:r>
    </w:p>
    <w:p w14:paraId="75B86FAB" w14:textId="4DF5EC3B" w:rsidR="00A86C4E" w:rsidRPr="00AA22D2" w:rsidRDefault="00F2352C" w:rsidP="00A86C4E">
      <w:pPr>
        <w:pStyle w:val="ListParagraph"/>
        <w:numPr>
          <w:ilvl w:val="0"/>
          <w:numId w:val="3"/>
        </w:numPr>
        <w:tabs>
          <w:tab w:val="left" w:pos="480"/>
        </w:tabs>
        <w:spacing w:before="120" w:after="0" w:line="240" w:lineRule="auto"/>
        <w:ind w:left="426" w:right="63" w:hanging="426"/>
        <w:jc w:val="both"/>
        <w:rPr>
          <w:rFonts w:eastAsia="Arial" w:cs="Arial"/>
          <w:szCs w:val="20"/>
        </w:rPr>
      </w:pPr>
      <w:r w:rsidRPr="00AA22D2">
        <w:rPr>
          <w:rFonts w:eastAsia="Arial" w:cs="Arial"/>
          <w:b/>
          <w:szCs w:val="20"/>
        </w:rPr>
        <w:t>Data recovery:</w:t>
      </w:r>
      <w:r w:rsidRPr="00AA22D2">
        <w:rPr>
          <w:rFonts w:eastAsia="Arial" w:cs="Arial"/>
          <w:szCs w:val="20"/>
        </w:rPr>
        <w:t xml:space="preserve"> Data recovery </w:t>
      </w:r>
      <w:r w:rsidR="007A5BBE" w:rsidRPr="00AA22D2">
        <w:rPr>
          <w:rFonts w:eastAsia="Arial" w:cs="Arial"/>
          <w:szCs w:val="20"/>
        </w:rPr>
        <w:t xml:space="preserve">can be offered </w:t>
      </w:r>
      <w:r w:rsidRPr="00AA22D2">
        <w:rPr>
          <w:rFonts w:eastAsia="Arial" w:cs="Arial"/>
          <w:szCs w:val="20"/>
        </w:rPr>
        <w:t xml:space="preserve">only within a period </w:t>
      </w:r>
      <w:r w:rsidR="00AA22D2" w:rsidRPr="00AA22D2">
        <w:rPr>
          <w:rFonts w:eastAsia="Arial" w:cs="Arial"/>
          <w:szCs w:val="20"/>
          <w:highlight w:val="yellow"/>
        </w:rPr>
        <w:t>12</w:t>
      </w:r>
      <w:r w:rsidRPr="00AA22D2">
        <w:rPr>
          <w:rFonts w:eastAsia="Arial" w:cs="Arial"/>
          <w:szCs w:val="20"/>
          <w:highlight w:val="yellow"/>
        </w:rPr>
        <w:t xml:space="preserve"> </w:t>
      </w:r>
      <w:r w:rsidR="00AA22D2" w:rsidRPr="00AA22D2">
        <w:rPr>
          <w:rFonts w:eastAsia="Arial" w:cs="Arial"/>
          <w:szCs w:val="20"/>
          <w:highlight w:val="yellow"/>
        </w:rPr>
        <w:t>weeks (3 months)</w:t>
      </w:r>
      <w:r w:rsidRPr="00AA22D2">
        <w:rPr>
          <w:rFonts w:eastAsia="Arial" w:cs="Arial"/>
          <w:szCs w:val="20"/>
        </w:rPr>
        <w:t xml:space="preserve"> after data generation, which will incur extra charges</w:t>
      </w:r>
      <w:r w:rsidR="00AA22D2">
        <w:rPr>
          <w:rFonts w:eastAsia="Arial" w:cs="Arial"/>
          <w:szCs w:val="20"/>
        </w:rPr>
        <w:t xml:space="preserve"> if requested during week 5-12 after data generation</w:t>
      </w:r>
      <w:r w:rsidR="007A5BBE" w:rsidRPr="00AA22D2">
        <w:rPr>
          <w:rFonts w:eastAsia="Arial" w:cs="Arial"/>
          <w:szCs w:val="20"/>
        </w:rPr>
        <w:t xml:space="preserve">. After that period, the data will be </w:t>
      </w:r>
      <w:r w:rsidR="007A5BBE" w:rsidRPr="00AA22D2">
        <w:rPr>
          <w:rFonts w:eastAsia="Arial" w:cs="Arial"/>
          <w:b/>
          <w:szCs w:val="20"/>
          <w:u w:val="single"/>
        </w:rPr>
        <w:t>deleted</w:t>
      </w:r>
      <w:r w:rsidR="007A5BBE" w:rsidRPr="00AA22D2">
        <w:rPr>
          <w:rFonts w:eastAsia="Arial" w:cs="Arial"/>
          <w:szCs w:val="20"/>
        </w:rPr>
        <w:t>.</w:t>
      </w:r>
    </w:p>
    <w:p w14:paraId="6E746EC5" w14:textId="03CA6585" w:rsidR="00AA22D2" w:rsidRPr="00AA22D2" w:rsidRDefault="00AA22D2" w:rsidP="00A86C4E">
      <w:pPr>
        <w:pStyle w:val="ListParagraph"/>
        <w:numPr>
          <w:ilvl w:val="0"/>
          <w:numId w:val="3"/>
        </w:numPr>
        <w:tabs>
          <w:tab w:val="left" w:pos="480"/>
        </w:tabs>
        <w:spacing w:before="120" w:after="0" w:line="240" w:lineRule="auto"/>
        <w:ind w:left="426" w:right="63" w:hanging="426"/>
        <w:jc w:val="both"/>
        <w:rPr>
          <w:rFonts w:eastAsia="Arial" w:cs="Arial"/>
          <w:szCs w:val="20"/>
        </w:rPr>
      </w:pPr>
      <w:r w:rsidRPr="00AA22D2">
        <w:rPr>
          <w:rFonts w:eastAsia="Arial" w:cs="Arial"/>
          <w:szCs w:val="20"/>
        </w:rPr>
        <w:t>Any clinical service data will be stored as per the IANZ recommendations.</w:t>
      </w:r>
    </w:p>
    <w:p w14:paraId="27ED9108" w14:textId="5898A200" w:rsidR="00AA22D2" w:rsidRPr="00AA22D2" w:rsidRDefault="00AA22D2" w:rsidP="00AA22D2">
      <w:pPr>
        <w:tabs>
          <w:tab w:val="left" w:pos="480"/>
        </w:tabs>
        <w:spacing w:before="120" w:after="0" w:line="240" w:lineRule="auto"/>
        <w:ind w:right="63"/>
        <w:jc w:val="both"/>
        <w:rPr>
          <w:rFonts w:eastAsia="Arial" w:cs="Arial"/>
          <w:b/>
          <w:szCs w:val="20"/>
        </w:rPr>
      </w:pPr>
      <w:r w:rsidRPr="00AA22D2">
        <w:rPr>
          <w:rFonts w:eastAsia="Arial" w:cs="Arial"/>
          <w:b/>
          <w:szCs w:val="20"/>
        </w:rPr>
        <w:t>Illumina data:</w:t>
      </w:r>
    </w:p>
    <w:p w14:paraId="0D2EB919" w14:textId="238910D8" w:rsidR="00AA22D2" w:rsidRDefault="00AA22D2" w:rsidP="00A86C4E">
      <w:pPr>
        <w:pStyle w:val="ListParagraph"/>
        <w:numPr>
          <w:ilvl w:val="0"/>
          <w:numId w:val="3"/>
        </w:numPr>
        <w:tabs>
          <w:tab w:val="left" w:pos="480"/>
        </w:tabs>
        <w:spacing w:before="120" w:after="0" w:line="240" w:lineRule="auto"/>
        <w:ind w:left="426" w:right="63" w:hanging="426"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The data (</w:t>
      </w:r>
      <w:proofErr w:type="spellStart"/>
      <w:r>
        <w:rPr>
          <w:rFonts w:eastAsia="Arial" w:cs="Arial"/>
          <w:szCs w:val="20"/>
        </w:rPr>
        <w:t>fastq</w:t>
      </w:r>
      <w:proofErr w:type="spellEnd"/>
      <w:r>
        <w:rPr>
          <w:rFonts w:eastAsia="Arial" w:cs="Arial"/>
          <w:szCs w:val="20"/>
        </w:rPr>
        <w:t xml:space="preserve"> or </w:t>
      </w:r>
      <w:proofErr w:type="spellStart"/>
      <w:r>
        <w:rPr>
          <w:rFonts w:eastAsia="Arial" w:cs="Arial"/>
          <w:szCs w:val="20"/>
        </w:rPr>
        <w:t>fastq+BAM</w:t>
      </w:r>
      <w:proofErr w:type="spellEnd"/>
      <w:r>
        <w:rPr>
          <w:rFonts w:eastAsia="Arial" w:cs="Arial"/>
          <w:szCs w:val="20"/>
        </w:rPr>
        <w:t xml:space="preserve"> +VCF) will be available for up to </w:t>
      </w:r>
      <w:r w:rsidRPr="00AA22D2">
        <w:rPr>
          <w:rFonts w:eastAsia="Arial" w:cs="Arial"/>
          <w:szCs w:val="20"/>
          <w:highlight w:val="yellow"/>
        </w:rPr>
        <w:t>3 months</w:t>
      </w:r>
      <w:r>
        <w:rPr>
          <w:rFonts w:eastAsia="Arial" w:cs="Arial"/>
          <w:szCs w:val="20"/>
        </w:rPr>
        <w:t xml:space="preserve"> after data generation.</w:t>
      </w:r>
    </w:p>
    <w:p w14:paraId="6DA6654C" w14:textId="3BF55620" w:rsidR="00AA22D2" w:rsidRDefault="00AA22D2" w:rsidP="00A86C4E">
      <w:pPr>
        <w:pStyle w:val="ListParagraph"/>
        <w:numPr>
          <w:ilvl w:val="0"/>
          <w:numId w:val="3"/>
        </w:numPr>
        <w:tabs>
          <w:tab w:val="left" w:pos="480"/>
        </w:tabs>
        <w:spacing w:before="120" w:after="0" w:line="240" w:lineRule="auto"/>
        <w:ind w:left="426" w:right="63" w:hanging="426"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The data will be delivered to you by data transfer to your preferred storage medium.</w:t>
      </w:r>
    </w:p>
    <w:p w14:paraId="62365601" w14:textId="3B4963C4" w:rsidR="00AA22D2" w:rsidRPr="00AA22D2" w:rsidRDefault="00AA22D2" w:rsidP="00A86C4E">
      <w:pPr>
        <w:pStyle w:val="ListParagraph"/>
        <w:numPr>
          <w:ilvl w:val="0"/>
          <w:numId w:val="3"/>
        </w:numPr>
        <w:tabs>
          <w:tab w:val="left" w:pos="480"/>
        </w:tabs>
        <w:spacing w:before="120" w:after="0" w:line="240" w:lineRule="auto"/>
        <w:ind w:left="426" w:right="63" w:hanging="426"/>
        <w:jc w:val="both"/>
        <w:rPr>
          <w:rFonts w:eastAsia="Arial" w:cs="Arial"/>
          <w:szCs w:val="20"/>
        </w:rPr>
      </w:pPr>
      <w:r w:rsidRPr="00AA22D2">
        <w:rPr>
          <w:rFonts w:eastAsia="Arial" w:cs="Arial"/>
          <w:szCs w:val="20"/>
        </w:rPr>
        <w:t>Any clinical service data will be stored as per the IANZ recommendations.</w:t>
      </w:r>
    </w:p>
    <w:p w14:paraId="5C57E83D" w14:textId="73242EBA" w:rsidR="00AA22D2" w:rsidRPr="00AA22D2" w:rsidRDefault="00AA22D2" w:rsidP="00AA22D2">
      <w:pPr>
        <w:tabs>
          <w:tab w:val="left" w:pos="480"/>
        </w:tabs>
        <w:spacing w:before="120" w:after="0" w:line="240" w:lineRule="auto"/>
        <w:ind w:right="63"/>
        <w:jc w:val="both"/>
        <w:rPr>
          <w:rFonts w:eastAsia="Arial" w:cs="Arial"/>
          <w:b/>
          <w:szCs w:val="20"/>
        </w:rPr>
      </w:pPr>
      <w:proofErr w:type="spellStart"/>
      <w:r w:rsidRPr="00AA22D2">
        <w:rPr>
          <w:rFonts w:eastAsia="Arial" w:cs="Arial"/>
          <w:b/>
          <w:szCs w:val="20"/>
        </w:rPr>
        <w:t>Nanostring</w:t>
      </w:r>
      <w:proofErr w:type="spellEnd"/>
      <w:r w:rsidRPr="00AA22D2">
        <w:rPr>
          <w:rFonts w:eastAsia="Arial" w:cs="Arial"/>
          <w:b/>
          <w:szCs w:val="20"/>
        </w:rPr>
        <w:t xml:space="preserve"> and </w:t>
      </w:r>
      <w:proofErr w:type="spellStart"/>
      <w:r w:rsidRPr="00AA22D2">
        <w:rPr>
          <w:rFonts w:eastAsia="Arial" w:cs="Arial"/>
          <w:b/>
          <w:szCs w:val="20"/>
        </w:rPr>
        <w:t>MassArray</w:t>
      </w:r>
      <w:proofErr w:type="spellEnd"/>
      <w:r w:rsidRPr="00AA22D2">
        <w:rPr>
          <w:rFonts w:eastAsia="Arial" w:cs="Arial"/>
          <w:b/>
          <w:szCs w:val="20"/>
        </w:rPr>
        <w:t xml:space="preserve"> data:</w:t>
      </w:r>
    </w:p>
    <w:p w14:paraId="564D6B8F" w14:textId="2D276C34" w:rsidR="00AA22D2" w:rsidRDefault="00AA22D2" w:rsidP="00AA22D2">
      <w:pPr>
        <w:pStyle w:val="ListParagraph"/>
        <w:numPr>
          <w:ilvl w:val="0"/>
          <w:numId w:val="3"/>
        </w:numPr>
        <w:tabs>
          <w:tab w:val="left" w:pos="480"/>
        </w:tabs>
        <w:spacing w:before="120" w:after="0" w:line="240" w:lineRule="auto"/>
        <w:ind w:left="426" w:right="63" w:hanging="426"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The research data from </w:t>
      </w:r>
      <w:proofErr w:type="spellStart"/>
      <w:r>
        <w:rPr>
          <w:rFonts w:eastAsia="Arial" w:cs="Arial"/>
          <w:szCs w:val="20"/>
        </w:rPr>
        <w:t>Nanostring</w:t>
      </w:r>
      <w:proofErr w:type="spellEnd"/>
      <w:r>
        <w:rPr>
          <w:rFonts w:eastAsia="Arial" w:cs="Arial"/>
          <w:szCs w:val="20"/>
        </w:rPr>
        <w:t xml:space="preserve"> and </w:t>
      </w:r>
      <w:proofErr w:type="spellStart"/>
      <w:r>
        <w:rPr>
          <w:rFonts w:eastAsia="Arial" w:cs="Arial"/>
          <w:szCs w:val="20"/>
        </w:rPr>
        <w:t>MassArray</w:t>
      </w:r>
      <w:proofErr w:type="spellEnd"/>
      <w:r>
        <w:rPr>
          <w:rFonts w:eastAsia="Arial" w:cs="Arial"/>
          <w:szCs w:val="20"/>
        </w:rPr>
        <w:t xml:space="preserve"> data will be stored on GCG network for </w:t>
      </w:r>
      <w:proofErr w:type="spellStart"/>
      <w:r w:rsidRPr="00AA22D2">
        <w:rPr>
          <w:rFonts w:eastAsia="Arial" w:cs="Arial"/>
          <w:szCs w:val="20"/>
          <w:highlight w:val="yellow"/>
        </w:rPr>
        <w:t>upto</w:t>
      </w:r>
      <w:proofErr w:type="spellEnd"/>
      <w:r w:rsidRPr="00AA22D2">
        <w:rPr>
          <w:rFonts w:eastAsia="Arial" w:cs="Arial"/>
          <w:szCs w:val="20"/>
          <w:highlight w:val="yellow"/>
        </w:rPr>
        <w:t xml:space="preserve"> at least one year</w:t>
      </w:r>
      <w:r>
        <w:rPr>
          <w:rFonts w:eastAsia="Arial" w:cs="Arial"/>
          <w:szCs w:val="20"/>
        </w:rPr>
        <w:t>.</w:t>
      </w:r>
    </w:p>
    <w:p w14:paraId="5340C24F" w14:textId="77777777" w:rsidR="00AA22D2" w:rsidRPr="00AA22D2" w:rsidRDefault="00AA22D2" w:rsidP="00AA22D2">
      <w:pPr>
        <w:pStyle w:val="ListParagraph"/>
        <w:numPr>
          <w:ilvl w:val="0"/>
          <w:numId w:val="3"/>
        </w:numPr>
        <w:tabs>
          <w:tab w:val="left" w:pos="480"/>
        </w:tabs>
        <w:spacing w:before="120" w:after="0" w:line="240" w:lineRule="auto"/>
        <w:ind w:left="426" w:right="63" w:hanging="426"/>
        <w:jc w:val="both"/>
        <w:rPr>
          <w:rFonts w:eastAsia="Arial" w:cs="Arial"/>
          <w:szCs w:val="20"/>
        </w:rPr>
      </w:pPr>
      <w:r w:rsidRPr="00AA22D2">
        <w:rPr>
          <w:rFonts w:eastAsia="Arial" w:cs="Arial"/>
          <w:szCs w:val="20"/>
        </w:rPr>
        <w:t>Any clinical service data will be stored as per the IANZ recommendations.</w:t>
      </w:r>
    </w:p>
    <w:p w14:paraId="0985209C" w14:textId="77777777" w:rsidR="00AA22D2" w:rsidRPr="00AA22D2" w:rsidRDefault="00AA22D2" w:rsidP="00AA22D2">
      <w:pPr>
        <w:tabs>
          <w:tab w:val="left" w:pos="480"/>
        </w:tabs>
        <w:spacing w:before="120" w:after="0" w:line="240" w:lineRule="auto"/>
        <w:ind w:right="63"/>
        <w:jc w:val="both"/>
        <w:rPr>
          <w:rFonts w:eastAsia="Arial" w:cs="Arial"/>
          <w:szCs w:val="20"/>
        </w:rPr>
      </w:pPr>
    </w:p>
    <w:p w14:paraId="550789F5" w14:textId="216E1E90" w:rsidR="00C564D1" w:rsidRPr="00AA22D2" w:rsidRDefault="00C564D1" w:rsidP="00C564D1">
      <w:pPr>
        <w:tabs>
          <w:tab w:val="left" w:pos="142"/>
        </w:tabs>
        <w:spacing w:before="120" w:after="0" w:line="240" w:lineRule="auto"/>
        <w:ind w:right="63"/>
        <w:jc w:val="both"/>
        <w:rPr>
          <w:rFonts w:eastAsia="Arial" w:cs="Arial"/>
          <w:szCs w:val="20"/>
        </w:rPr>
      </w:pPr>
      <w:r w:rsidRPr="00AA22D2">
        <w:rPr>
          <w:rFonts w:eastAsia="Arial" w:cs="Arial"/>
          <w:szCs w:val="20"/>
        </w:rPr>
        <w:t xml:space="preserve">I </w:t>
      </w:r>
      <w:r w:rsidRPr="00AA22D2">
        <w:rPr>
          <w:rFonts w:eastAsia="Arial" w:cs="Arial"/>
          <w:spacing w:val="2"/>
          <w:szCs w:val="20"/>
        </w:rPr>
        <w:t xml:space="preserve">have </w:t>
      </w:r>
      <w:r w:rsidRPr="00AA22D2">
        <w:rPr>
          <w:rFonts w:eastAsia="Arial" w:cs="Arial"/>
          <w:spacing w:val="1"/>
          <w:szCs w:val="20"/>
        </w:rPr>
        <w:t>r</w:t>
      </w:r>
      <w:r w:rsidRPr="00AA22D2">
        <w:rPr>
          <w:rFonts w:eastAsia="Arial" w:cs="Arial"/>
          <w:szCs w:val="20"/>
        </w:rPr>
        <w:t>ead</w:t>
      </w:r>
      <w:r w:rsidRPr="00AA22D2">
        <w:rPr>
          <w:rFonts w:eastAsia="Arial" w:cs="Arial"/>
          <w:spacing w:val="-2"/>
          <w:szCs w:val="20"/>
        </w:rPr>
        <w:t xml:space="preserve"> </w:t>
      </w:r>
      <w:r w:rsidR="00AA22D2">
        <w:rPr>
          <w:rFonts w:eastAsia="Arial" w:cs="Arial"/>
          <w:spacing w:val="-2"/>
          <w:szCs w:val="20"/>
        </w:rPr>
        <w:t xml:space="preserve">and understood </w:t>
      </w:r>
      <w:r w:rsidRPr="00AA22D2">
        <w:rPr>
          <w:rFonts w:eastAsia="Arial" w:cs="Arial"/>
          <w:spacing w:val="2"/>
          <w:szCs w:val="20"/>
        </w:rPr>
        <w:t>a</w:t>
      </w:r>
      <w:r w:rsidRPr="00AA22D2">
        <w:rPr>
          <w:rFonts w:eastAsia="Arial" w:cs="Arial"/>
          <w:szCs w:val="20"/>
        </w:rPr>
        <w:t>nd</w:t>
      </w:r>
      <w:r w:rsidRPr="00AA22D2">
        <w:rPr>
          <w:rFonts w:eastAsia="Arial" w:cs="Arial"/>
          <w:spacing w:val="-1"/>
          <w:szCs w:val="20"/>
        </w:rPr>
        <w:t xml:space="preserve"> </w:t>
      </w:r>
      <w:r w:rsidRPr="00AA22D2">
        <w:rPr>
          <w:rFonts w:eastAsia="Arial" w:cs="Arial"/>
          <w:szCs w:val="20"/>
        </w:rPr>
        <w:t>I agree with the above me</w:t>
      </w:r>
      <w:r w:rsidR="00AA22D2">
        <w:rPr>
          <w:rFonts w:eastAsia="Arial" w:cs="Arial"/>
          <w:szCs w:val="20"/>
        </w:rPr>
        <w:t>ntioned data management</w:t>
      </w:r>
      <w:r w:rsidRPr="00AA22D2">
        <w:rPr>
          <w:rFonts w:eastAsia="Arial" w:cs="Arial"/>
          <w:szCs w:val="20"/>
        </w:rPr>
        <w:t xml:space="preserve"> </w:t>
      </w:r>
      <w:r w:rsidR="002C13FA">
        <w:rPr>
          <w:rFonts w:eastAsia="Arial" w:cs="Arial"/>
          <w:szCs w:val="20"/>
        </w:rPr>
        <w:t>agreement</w:t>
      </w:r>
      <w:bookmarkStart w:id="0" w:name="_GoBack"/>
      <w:bookmarkEnd w:id="0"/>
      <w:r w:rsidRPr="00AA22D2">
        <w:rPr>
          <w:rFonts w:eastAsia="Arial" w:cs="Arial"/>
          <w:szCs w:val="20"/>
        </w:rPr>
        <w:t>.</w:t>
      </w:r>
    </w:p>
    <w:p w14:paraId="3B1757D5" w14:textId="77777777" w:rsidR="00AA22D2" w:rsidRPr="00C564D1" w:rsidRDefault="00AA22D2" w:rsidP="00C564D1">
      <w:pPr>
        <w:tabs>
          <w:tab w:val="left" w:pos="142"/>
        </w:tabs>
        <w:spacing w:before="120" w:after="0" w:line="240" w:lineRule="auto"/>
        <w:ind w:right="63"/>
        <w:jc w:val="both"/>
        <w:rPr>
          <w:rFonts w:eastAsia="Arial" w:cs="Arial"/>
          <w:sz w:val="20"/>
          <w:szCs w:val="20"/>
        </w:rPr>
      </w:pPr>
    </w:p>
    <w:p w14:paraId="6386BB27" w14:textId="1AABB48C" w:rsidR="00C564D1" w:rsidRDefault="00C564D1" w:rsidP="00C564D1">
      <w:pPr>
        <w:tabs>
          <w:tab w:val="left" w:pos="0"/>
        </w:tabs>
        <w:spacing w:before="120" w:after="0" w:line="360" w:lineRule="auto"/>
        <w:ind w:right="63"/>
        <w:jc w:val="both"/>
        <w:rPr>
          <w:rFonts w:eastAsia="Arial" w:cs="Arial"/>
          <w:sz w:val="20"/>
          <w:szCs w:val="20"/>
        </w:rPr>
      </w:pPr>
      <w:r w:rsidRPr="00C564D1">
        <w:rPr>
          <w:rFonts w:eastAsia="Arial" w:cs="Arial"/>
          <w:sz w:val="20"/>
          <w:szCs w:val="20"/>
        </w:rPr>
        <w:t xml:space="preserve">CLIENT’S NAME: ______________________________________ </w:t>
      </w:r>
    </w:p>
    <w:p w14:paraId="643F6BAD" w14:textId="77777777" w:rsidR="00AA22D2" w:rsidRPr="00C564D1" w:rsidRDefault="00AA22D2" w:rsidP="00C564D1">
      <w:pPr>
        <w:tabs>
          <w:tab w:val="left" w:pos="0"/>
        </w:tabs>
        <w:spacing w:before="120" w:after="0" w:line="360" w:lineRule="auto"/>
        <w:ind w:right="63"/>
        <w:jc w:val="both"/>
        <w:rPr>
          <w:rFonts w:eastAsia="Arial" w:cs="Arial"/>
          <w:sz w:val="20"/>
          <w:szCs w:val="20"/>
        </w:rPr>
      </w:pPr>
    </w:p>
    <w:p w14:paraId="5D48EB4A" w14:textId="2CC3D915" w:rsidR="00C564D1" w:rsidRDefault="00C564D1" w:rsidP="00C564D1">
      <w:pPr>
        <w:tabs>
          <w:tab w:val="left" w:pos="0"/>
        </w:tabs>
        <w:spacing w:before="120" w:after="0" w:line="360" w:lineRule="auto"/>
        <w:ind w:right="63"/>
        <w:jc w:val="both"/>
        <w:rPr>
          <w:rFonts w:eastAsia="Arial" w:cs="Arial"/>
          <w:w w:val="99"/>
          <w:position w:val="-1"/>
          <w:sz w:val="20"/>
          <w:szCs w:val="20"/>
          <w:u w:val="single" w:color="000000"/>
        </w:rPr>
      </w:pPr>
      <w:r w:rsidRPr="00C564D1">
        <w:rPr>
          <w:rFonts w:eastAsia="Arial" w:cs="Arial"/>
          <w:sz w:val="20"/>
          <w:szCs w:val="20"/>
        </w:rPr>
        <w:t xml:space="preserve">CLIENT’S </w:t>
      </w:r>
      <w:r w:rsidRPr="00C564D1">
        <w:rPr>
          <w:rFonts w:eastAsia="Arial" w:cs="Arial"/>
          <w:spacing w:val="-1"/>
          <w:w w:val="99"/>
          <w:position w:val="-1"/>
          <w:sz w:val="20"/>
          <w:szCs w:val="20"/>
        </w:rPr>
        <w:t>S</w:t>
      </w:r>
      <w:r w:rsidRPr="00C564D1">
        <w:rPr>
          <w:rFonts w:eastAsia="Arial" w:cs="Arial"/>
          <w:w w:val="99"/>
          <w:position w:val="-1"/>
          <w:sz w:val="20"/>
          <w:szCs w:val="20"/>
        </w:rPr>
        <w:t>I</w:t>
      </w:r>
      <w:r w:rsidRPr="00C564D1">
        <w:rPr>
          <w:rFonts w:eastAsia="Arial" w:cs="Arial"/>
          <w:spacing w:val="1"/>
          <w:w w:val="99"/>
          <w:position w:val="-1"/>
          <w:sz w:val="20"/>
          <w:szCs w:val="20"/>
        </w:rPr>
        <w:t>G</w:t>
      </w:r>
      <w:r w:rsidRPr="00C564D1">
        <w:rPr>
          <w:rFonts w:eastAsia="Arial" w:cs="Arial"/>
          <w:w w:val="99"/>
          <w:position w:val="-1"/>
          <w:sz w:val="20"/>
          <w:szCs w:val="20"/>
        </w:rPr>
        <w:t>N</w:t>
      </w:r>
      <w:r w:rsidRPr="00C564D1">
        <w:rPr>
          <w:rFonts w:eastAsia="Arial" w:cs="Arial"/>
          <w:spacing w:val="2"/>
          <w:w w:val="99"/>
          <w:position w:val="-1"/>
          <w:sz w:val="20"/>
          <w:szCs w:val="20"/>
        </w:rPr>
        <w:t>ATURE</w:t>
      </w:r>
      <w:r w:rsidRPr="00C564D1">
        <w:rPr>
          <w:rFonts w:eastAsia="Arial" w:cs="Arial"/>
          <w:w w:val="99"/>
          <w:position w:val="-1"/>
          <w:sz w:val="20"/>
          <w:szCs w:val="20"/>
        </w:rPr>
        <w:t>:</w:t>
      </w:r>
      <w:r w:rsidRPr="00C564D1">
        <w:rPr>
          <w:rFonts w:eastAsia="Arial" w:cs="Arial"/>
          <w:position w:val="-1"/>
          <w:sz w:val="20"/>
          <w:szCs w:val="20"/>
        </w:rPr>
        <w:t xml:space="preserve"> </w:t>
      </w:r>
      <w:r>
        <w:rPr>
          <w:rFonts w:eastAsia="Arial" w:cs="Arial"/>
          <w:position w:val="-1"/>
          <w:sz w:val="20"/>
          <w:szCs w:val="20"/>
        </w:rPr>
        <w:t xml:space="preserve">_______________________________________________ </w:t>
      </w:r>
      <w:r w:rsidRPr="00C564D1">
        <w:rPr>
          <w:rFonts w:eastAsia="Arial" w:cs="Arial"/>
          <w:w w:val="99"/>
          <w:position w:val="-1"/>
          <w:sz w:val="20"/>
          <w:szCs w:val="20"/>
        </w:rPr>
        <w:t>D</w:t>
      </w:r>
      <w:r w:rsidRPr="00C564D1">
        <w:rPr>
          <w:rFonts w:eastAsia="Arial" w:cs="Arial"/>
          <w:spacing w:val="-1"/>
          <w:w w:val="99"/>
          <w:position w:val="-1"/>
          <w:sz w:val="20"/>
          <w:szCs w:val="20"/>
        </w:rPr>
        <w:t>A</w:t>
      </w:r>
      <w:r w:rsidRPr="00C564D1">
        <w:rPr>
          <w:rFonts w:eastAsia="Arial" w:cs="Arial"/>
          <w:spacing w:val="3"/>
          <w:w w:val="99"/>
          <w:position w:val="-1"/>
          <w:sz w:val="20"/>
          <w:szCs w:val="20"/>
        </w:rPr>
        <w:t>T</w:t>
      </w:r>
      <w:r w:rsidRPr="00C564D1">
        <w:rPr>
          <w:rFonts w:eastAsia="Arial" w:cs="Arial"/>
          <w:spacing w:val="-1"/>
          <w:w w:val="99"/>
          <w:position w:val="-1"/>
          <w:sz w:val="20"/>
          <w:szCs w:val="20"/>
        </w:rPr>
        <w:t>E</w:t>
      </w:r>
      <w:proofErr w:type="gramStart"/>
      <w:r w:rsidRPr="00C564D1">
        <w:rPr>
          <w:rFonts w:eastAsia="Arial" w:cs="Arial"/>
          <w:w w:val="99"/>
          <w:position w:val="-1"/>
          <w:sz w:val="20"/>
          <w:szCs w:val="20"/>
        </w:rPr>
        <w:t>:</w:t>
      </w:r>
      <w:r>
        <w:rPr>
          <w:rFonts w:eastAsia="Arial" w:cs="Arial"/>
          <w:w w:val="99"/>
          <w:position w:val="-1"/>
          <w:sz w:val="20"/>
          <w:szCs w:val="20"/>
        </w:rPr>
        <w:t>_</w:t>
      </w:r>
      <w:proofErr w:type="gramEnd"/>
      <w:r>
        <w:rPr>
          <w:rFonts w:eastAsia="Arial" w:cs="Arial"/>
          <w:w w:val="99"/>
          <w:position w:val="-1"/>
          <w:sz w:val="20"/>
          <w:szCs w:val="20"/>
        </w:rPr>
        <w:t>________________</w:t>
      </w:r>
      <w:r w:rsidRPr="00C564D1">
        <w:rPr>
          <w:rFonts w:eastAsia="Arial" w:cs="Arial"/>
          <w:w w:val="99"/>
          <w:position w:val="-1"/>
          <w:sz w:val="20"/>
          <w:szCs w:val="20"/>
          <w:u w:val="single" w:color="000000"/>
        </w:rPr>
        <w:t xml:space="preserve"> </w:t>
      </w:r>
    </w:p>
    <w:p w14:paraId="69627C11" w14:textId="7CA83CE2" w:rsidR="00C564D1" w:rsidRPr="00C564D1" w:rsidRDefault="00C564D1">
      <w:pPr>
        <w:rPr>
          <w:sz w:val="20"/>
          <w:szCs w:val="20"/>
        </w:rPr>
      </w:pPr>
    </w:p>
    <w:sectPr w:rsidR="00C564D1" w:rsidRPr="00C564D1" w:rsidSect="00AA2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1560" w:right="1410" w:bottom="280" w:left="1680" w:header="567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6F270" w14:textId="77777777" w:rsidR="00E10750" w:rsidRDefault="00E10750" w:rsidP="00F363A8">
      <w:pPr>
        <w:spacing w:after="0" w:line="240" w:lineRule="auto"/>
      </w:pPr>
      <w:r>
        <w:separator/>
      </w:r>
    </w:p>
  </w:endnote>
  <w:endnote w:type="continuationSeparator" w:id="0">
    <w:p w14:paraId="4697ADB0" w14:textId="77777777" w:rsidR="00E10750" w:rsidRDefault="00E10750" w:rsidP="00F3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2499" w14:textId="77777777" w:rsidR="006F53C7" w:rsidRDefault="006F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7E04" w14:textId="6D0A9087" w:rsidR="0079309D" w:rsidRDefault="0079309D" w:rsidP="00FC6F4A">
    <w:pPr>
      <w:pStyle w:val="Footer"/>
      <w:jc w:val="right"/>
      <w:rPr>
        <w:sz w:val="18"/>
        <w:szCs w:val="18"/>
      </w:rPr>
    </w:pPr>
    <w:r w:rsidRPr="009D0E1F">
      <w:rPr>
        <w:sz w:val="18"/>
        <w:szCs w:val="18"/>
      </w:rPr>
      <w:t>Issue Date:</w:t>
    </w:r>
    <w:r>
      <w:rPr>
        <w:sz w:val="18"/>
        <w:szCs w:val="18"/>
      </w:rPr>
      <w:tab/>
      <w:t>Version 1.0</w:t>
    </w:r>
    <w:r w:rsidRPr="009D0E1F">
      <w:rPr>
        <w:sz w:val="18"/>
        <w:szCs w:val="18"/>
      </w:rPr>
      <w:tab/>
    </w:r>
  </w:p>
  <w:p w14:paraId="7CF95780" w14:textId="77777777" w:rsidR="0079309D" w:rsidRDefault="0079309D" w:rsidP="00FC6F4A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727B" w14:textId="77777777" w:rsidR="006F53C7" w:rsidRDefault="006F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B1A8" w14:textId="77777777" w:rsidR="00E10750" w:rsidRDefault="00E10750" w:rsidP="00F363A8">
      <w:pPr>
        <w:spacing w:after="0" w:line="240" w:lineRule="auto"/>
      </w:pPr>
      <w:r>
        <w:separator/>
      </w:r>
    </w:p>
  </w:footnote>
  <w:footnote w:type="continuationSeparator" w:id="0">
    <w:p w14:paraId="33CFE52E" w14:textId="77777777" w:rsidR="00E10750" w:rsidRDefault="00E10750" w:rsidP="00F3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2D4F3" w14:textId="77777777" w:rsidR="006F53C7" w:rsidRDefault="006F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071A" w14:textId="77777777" w:rsidR="0079309D" w:rsidRDefault="0079309D" w:rsidP="00F363A8">
    <w:pPr>
      <w:pStyle w:val="Header"/>
      <w:rPr>
        <w:sz w:val="18"/>
        <w:szCs w:val="18"/>
      </w:rPr>
    </w:pPr>
    <w:r w:rsidRPr="005C6BD9">
      <w:rPr>
        <w:sz w:val="18"/>
        <w:szCs w:val="18"/>
      </w:rPr>
      <w:t xml:space="preserve">Grafton Clinical Genomics </w:t>
    </w:r>
  </w:p>
  <w:p w14:paraId="00DD9CBD" w14:textId="31CAD51D" w:rsidR="0079309D" w:rsidRDefault="0079309D" w:rsidP="00F363A8">
    <w:pPr>
      <w:pStyle w:val="Header"/>
      <w:rPr>
        <w:noProof/>
        <w:sz w:val="18"/>
        <w:szCs w:val="18"/>
      </w:rPr>
    </w:pPr>
    <w:r>
      <w:rPr>
        <w:sz w:val="18"/>
        <w:szCs w:val="18"/>
      </w:rPr>
      <w:t>Laboratory</w:t>
    </w:r>
    <w:r w:rsidRPr="009D0E1F">
      <w:rPr>
        <w:sz w:val="18"/>
        <w:szCs w:val="18"/>
      </w:rPr>
      <w:tab/>
    </w:r>
    <w:r w:rsidR="006F53C7" w:rsidRPr="006F53C7">
      <w:rPr>
        <w:sz w:val="18"/>
        <w:szCs w:val="18"/>
      </w:rPr>
      <w:t>Data Management Policy</w:t>
    </w:r>
    <w:r w:rsidRPr="009D0E1F">
      <w:rPr>
        <w:sz w:val="18"/>
        <w:szCs w:val="18"/>
      </w:rPr>
      <w:tab/>
    </w:r>
    <w:r w:rsidRPr="00867998">
      <w:rPr>
        <w:sz w:val="18"/>
        <w:szCs w:val="18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C13FA" w:rsidRPr="002C13FA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  <w:r w:rsidR="006F53C7">
      <w:rPr>
        <w:noProof/>
        <w:sz w:val="18"/>
        <w:szCs w:val="18"/>
      </w:rPr>
      <w:t xml:space="preserve"> of 1</w:t>
    </w:r>
  </w:p>
  <w:tbl>
    <w:tblPr>
      <w:tblStyle w:val="TableGrid"/>
      <w:tblW w:w="92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5"/>
      <w:gridCol w:w="222"/>
      <w:gridCol w:w="4468"/>
    </w:tblGrid>
    <w:tr w:rsidR="0079309D" w14:paraId="75589067" w14:textId="77777777" w:rsidTr="00B26ED5">
      <w:tc>
        <w:tcPr>
          <w:tcW w:w="4575" w:type="dxa"/>
        </w:tcPr>
        <w:p w14:paraId="2C64FA72" w14:textId="69E37E45" w:rsidR="0079309D" w:rsidRDefault="0079309D" w:rsidP="00F363A8">
          <w:pPr>
            <w:pStyle w:val="Header"/>
          </w:pPr>
        </w:p>
      </w:tc>
      <w:tc>
        <w:tcPr>
          <w:tcW w:w="222" w:type="dxa"/>
        </w:tcPr>
        <w:p w14:paraId="38E8BA10" w14:textId="77777777" w:rsidR="0079309D" w:rsidRDefault="0079309D" w:rsidP="00F363A8">
          <w:pPr>
            <w:pStyle w:val="Header"/>
          </w:pPr>
        </w:p>
      </w:tc>
      <w:tc>
        <w:tcPr>
          <w:tcW w:w="4468" w:type="dxa"/>
        </w:tcPr>
        <w:p w14:paraId="5336B8B3" w14:textId="49AC241B" w:rsidR="0079309D" w:rsidRDefault="0079309D" w:rsidP="00F363A8">
          <w:pPr>
            <w:pStyle w:val="Header"/>
          </w:pPr>
        </w:p>
      </w:tc>
    </w:tr>
  </w:tbl>
  <w:p w14:paraId="2D407460" w14:textId="50D2BC1A" w:rsidR="0079309D" w:rsidRPr="00F363A8" w:rsidRDefault="0079309D" w:rsidP="00F36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F154" w14:textId="77777777" w:rsidR="006F53C7" w:rsidRDefault="006F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1E5C"/>
    <w:multiLevelType w:val="hybridMultilevel"/>
    <w:tmpl w:val="C6E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717F"/>
    <w:multiLevelType w:val="hybridMultilevel"/>
    <w:tmpl w:val="EB1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1A8B"/>
    <w:multiLevelType w:val="hybridMultilevel"/>
    <w:tmpl w:val="194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56A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C6771FE"/>
    <w:multiLevelType w:val="hybridMultilevel"/>
    <w:tmpl w:val="194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Book Antiqua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5A"/>
    <w:multiLevelType w:val="hybridMultilevel"/>
    <w:tmpl w:val="594630A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A1"/>
    <w:rsid w:val="000047B5"/>
    <w:rsid w:val="001077B1"/>
    <w:rsid w:val="0014396F"/>
    <w:rsid w:val="0017055C"/>
    <w:rsid w:val="001975C8"/>
    <w:rsid w:val="001E0863"/>
    <w:rsid w:val="001E63B5"/>
    <w:rsid w:val="00295C7D"/>
    <w:rsid w:val="002C13FA"/>
    <w:rsid w:val="002F21F2"/>
    <w:rsid w:val="00302045"/>
    <w:rsid w:val="00322191"/>
    <w:rsid w:val="0036558D"/>
    <w:rsid w:val="003A7F26"/>
    <w:rsid w:val="004155A3"/>
    <w:rsid w:val="00446A5D"/>
    <w:rsid w:val="004F0F5D"/>
    <w:rsid w:val="00502D0A"/>
    <w:rsid w:val="0062623E"/>
    <w:rsid w:val="00640BDA"/>
    <w:rsid w:val="0064524D"/>
    <w:rsid w:val="00651575"/>
    <w:rsid w:val="00670A53"/>
    <w:rsid w:val="00675F4E"/>
    <w:rsid w:val="006A248B"/>
    <w:rsid w:val="006F0D08"/>
    <w:rsid w:val="006F53C7"/>
    <w:rsid w:val="00744F4F"/>
    <w:rsid w:val="00784188"/>
    <w:rsid w:val="0079309D"/>
    <w:rsid w:val="00797B98"/>
    <w:rsid w:val="007A5BBE"/>
    <w:rsid w:val="007F0F4D"/>
    <w:rsid w:val="0080592C"/>
    <w:rsid w:val="0082550C"/>
    <w:rsid w:val="00854D41"/>
    <w:rsid w:val="00892440"/>
    <w:rsid w:val="00920CDE"/>
    <w:rsid w:val="00961132"/>
    <w:rsid w:val="0096745E"/>
    <w:rsid w:val="009B7698"/>
    <w:rsid w:val="00A86C4E"/>
    <w:rsid w:val="00AA22D2"/>
    <w:rsid w:val="00AC55AA"/>
    <w:rsid w:val="00AF0465"/>
    <w:rsid w:val="00B12C5D"/>
    <w:rsid w:val="00B26ED5"/>
    <w:rsid w:val="00B308A3"/>
    <w:rsid w:val="00B44C66"/>
    <w:rsid w:val="00B47DE3"/>
    <w:rsid w:val="00BC2929"/>
    <w:rsid w:val="00C113C2"/>
    <w:rsid w:val="00C31710"/>
    <w:rsid w:val="00C564D1"/>
    <w:rsid w:val="00DD05EA"/>
    <w:rsid w:val="00DF2C96"/>
    <w:rsid w:val="00DF4A67"/>
    <w:rsid w:val="00E05089"/>
    <w:rsid w:val="00E07909"/>
    <w:rsid w:val="00E10750"/>
    <w:rsid w:val="00E176C3"/>
    <w:rsid w:val="00E86FA1"/>
    <w:rsid w:val="00EC7C93"/>
    <w:rsid w:val="00EF55DC"/>
    <w:rsid w:val="00F23036"/>
    <w:rsid w:val="00F2352C"/>
    <w:rsid w:val="00F363A8"/>
    <w:rsid w:val="00F43C93"/>
    <w:rsid w:val="00F47E6A"/>
    <w:rsid w:val="00F554FD"/>
    <w:rsid w:val="00FB225E"/>
    <w:rsid w:val="00FB5567"/>
    <w:rsid w:val="00FC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8C2794"/>
  <w15:docId w15:val="{0EED8ED9-8876-4301-BB49-8E08E49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A8"/>
  </w:style>
  <w:style w:type="paragraph" w:styleId="Footer">
    <w:name w:val="footer"/>
    <w:basedOn w:val="Normal"/>
    <w:link w:val="FooterChar"/>
    <w:uiPriority w:val="99"/>
    <w:unhideWhenUsed/>
    <w:rsid w:val="00F36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A8"/>
  </w:style>
  <w:style w:type="paragraph" w:styleId="ListParagraph">
    <w:name w:val="List Paragraph"/>
    <w:basedOn w:val="Normal"/>
    <w:uiPriority w:val="34"/>
    <w:qFormat/>
    <w:rsid w:val="00F23036"/>
    <w:pPr>
      <w:ind w:left="720"/>
      <w:contextualSpacing/>
    </w:pPr>
  </w:style>
  <w:style w:type="table" w:styleId="TableGrid">
    <w:name w:val="Table Grid"/>
    <w:basedOn w:val="TableNormal"/>
    <w:uiPriority w:val="59"/>
    <w:rsid w:val="00B2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Employee_Privacy_and_Confidentiality_Agreement.doc</vt:lpstr>
    </vt:vector>
  </TitlesOfParts>
  <Company>The University of Auckland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Employee_Privacy_and_Confidentiality_Agreement.doc</dc:title>
  <dc:creator>swartze</dc:creator>
  <cp:lastModifiedBy>Megan Putterill</cp:lastModifiedBy>
  <cp:revision>3</cp:revision>
  <cp:lastPrinted>2018-10-03T21:08:00Z</cp:lastPrinted>
  <dcterms:created xsi:type="dcterms:W3CDTF">2019-03-22T00:37:00Z</dcterms:created>
  <dcterms:modified xsi:type="dcterms:W3CDTF">2019-03-22T00:42:00Z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LastSaved">
    <vt:filetime>2013-03-11T00:00:00Z</vt:filetime>
  </property>
</Properties>
</file>